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34" w:rsidRPr="00776EEA" w:rsidRDefault="00C05834" w:rsidP="00776EEA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ОТЧЕТ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главы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5" w:tooltip="Муниципальные образования" w:history="1">
        <w:r w:rsidRPr="00776EEA">
          <w:rPr>
            <w:rFonts w:ascii="Times New Roman" w:hAnsi="Times New Roman" w:cs="Times New Roman"/>
            <w:b/>
            <w:bCs/>
            <w:color w:val="743399"/>
            <w:sz w:val="28"/>
            <w:szCs w:val="28"/>
            <w:lang w:eastAsia="ru-RU"/>
          </w:rPr>
          <w:t>муниципального образования</w:t>
        </w:r>
      </w:hyperlink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Фомино-Свечниковского сельского поселения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проделанной работе за 2015 год и задачах на 2016 год.</w:t>
      </w:r>
    </w:p>
    <w:p w:rsidR="00C05834" w:rsidRPr="00776EEA" w:rsidRDefault="00C05834" w:rsidP="00776EEA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834" w:rsidRDefault="00C05834" w:rsidP="00776EEA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жители поселения,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руководители предприятий, депутаты и наши гости!</w:t>
      </w:r>
    </w:p>
    <w:p w:rsidR="00C05834" w:rsidRPr="00776EEA" w:rsidRDefault="00C05834" w:rsidP="00776EEA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я представлю отчет о работе администрации Фомино-Свечниковского сельского поселения за 2015 год 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 Фомино-Свечниковского сельского поселения  , глава поселения подконтролен и подотчетен непосредственно населению и Собранию депутатов.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самоуправления, которых на сегодняшний день –   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Собранием 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За отчетный период 2015 года поступило 1620 обращений граждан.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тематике обращения в 2015 году, можно разделить на 3 основных блока: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вопросы социального обеспечения- 65%;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вопросы </w:t>
      </w:r>
      <w:hyperlink r:id="rId6" w:tooltip="Землепользование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землепользования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экологии –   20%;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вопросы коммунального хозяйства –15%;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информации населения о </w:t>
      </w:r>
      <w:hyperlink r:id="rId7" w:tooltip="Деятельность администраций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деятельности администрации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поселения используется официальный сайт администрации, где размещаются нормативные документы, график приема главы и сотрудников администрации.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01.01.2001 «Об организации предоставления государственных и муниципальных услуг» ведется работа по разработке и внедрению </w:t>
      </w:r>
      <w:hyperlink r:id="rId8" w:tooltip="Административные регламенты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административных регламентов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 оказанию муниципальных услуг в сельском поселении. Разработан и утвержден Реестр муниципальных услуг, предоставляемых администрацией и муниципальными учреждениями Фомино-Свечниковского сельского поселения . Разработана схема межведомственных и межуровневых взаимодействий. Сведения об оказываемых муниципальных услугах направлены для размещения информации на Едином портале государственных и муниципальных услуг.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исполнение требований Федерального закона от 01.01.2001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 </w:t>
      </w:r>
      <w:hyperlink r:id="rId9" w:tooltip="Целевые программы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целевых программах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ведется размещение нормативно-правовых актов, утверждаемых Главой сельского поселения и Собранием депутатов, информируется о проведении </w:t>
      </w:r>
      <w:hyperlink r:id="rId10" w:tooltip="Публичные слушания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публичных слушаний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поселении и публикуются заключения по результатам их проведения в газете « Слава труду». Проводится регулярное информирование населения об актуальных событиях в поселении. Для удобства жителей в 2015 году были организованы встречи специалистов-представителей служб района с населением непосредственно на территории поселения, на которой вы могли получить ответы на интересующие вопросы, квалифицированные консультации.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же говорить о нормотворческой деятельности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принято и утверждено в 2015 году – 72 распоряжений и 139 постановлений.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обеспечивалась законотворческая деятельность Собрания депутатов поселения, разрабатывались нормативные и прочие документы, которые предлагались вниманию депутатов на утверждение. За отчетный период было проведено 12 заседаний и принято 18 нормативно-правовых актов.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базовые документы определяли и будут определять в дальнейшем </w:t>
      </w:r>
      <w:hyperlink r:id="rId11" w:tooltip="Совместная программа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совместную программу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действий администрации и Собрание депутатов поселения в ближайшие годы.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сегодняшний день совместными усилиями сделано немало. Хочется искренне поблагодарить всех депутатов за понимание и поддержку при решении многих вопросов.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Фомино-Свечниковском сельском поселении состоит граждан запаса - 275 человек и 26- допризывников и призывников. Воинский учет граждан запаса и граждан, подлежащих призыву на военную службу, осуществлялся специалистом военно-учетного стола по плану на 2015 год. В 2015 году призвано на службу в Российскую Армию – 2 призывника.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работа по актуализации </w:t>
      </w:r>
      <w:hyperlink r:id="rId12" w:tooltip="Базы данных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базы данных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ooltip="Земельные участки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земельных участков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сельских домов. В 2015году администрация поселения с выездом на место согласовывала границы земельных участков физических лиц, примыкающие к землям общего пользования, а также по рассмотрению обращений граждан по спорным вопросам по границам между соседями. По обращениям граждан, за отчетный период администрация поселения подготовила 9 постановления об уточнении адресов земельных участков.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обеспечения эффективного использования земли как основы жизни и деятельности жителей, проживающих на территории сельского поселения,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земли, предотвращение вредного воздействия на окружающую среду, недопущения самовольного занятия земельных участков. В соответствии с планом проведения проверок юридических лиц, согласованного прокуратурой, осуществлялся муниципальный земельный контроль организаций, находящихся на территории сельского поселения. В 2015 году было  проведено 2 проверок 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учета личных подсобных хозяйств на территории сельского поселения заложены  13 похозяйственных книг.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отраслями экономики, развитыми в поселении являются </w:t>
      </w:r>
      <w:hyperlink r:id="rId14" w:tooltip="Сельское хозяйство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сельское хозяйство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потребительская сфера.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бюджетообразующими организациями поселения являются: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ООО Агрофирма «Топаз» и ООО «Победа». Налогооблагаемая база поселения формируется 7  юридическими лицами и 12  </w:t>
      </w:r>
      <w:hyperlink r:id="rId15" w:tooltip="Индивидуальное предпринимательство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индивидуальными предпринимателями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зарегистрированными на территории поселения, а также жителями поселения, численность которых на 1 января 2016 года составила 1454 человек, родилось 17 человек, умерло 22 человека.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формировании, утверждении и ходе исполнения бюджета поселения.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финансовым инструментом для достижения стабильности </w:t>
      </w:r>
      <w:hyperlink r:id="rId16" w:tooltip="Социально-экономическое развитие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социально-экономического развития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поселения и показателей эффективности, безусловно, служит бюджет.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 поселения на 2016 год сформировался из следующих доходных источников: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налог на доходы физических лиц – 748,7    тыс. руб.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налог на имущество физических лиц –   44,3  тыс. руб.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земельных налог – 3132,1    тыс. руб.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дотации из бюджета </w:t>
      </w:r>
      <w:hyperlink r:id="rId17" w:tooltip="Московская обл.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Ростовской области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 поддержку мер по выравниванию бюджетной обеспеченности -  1378,4   тыс. руб.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субсидии на ведение первичного воинского учета –  69,9  тыс. руб.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Общая сумма налоговых  доходов поступивших в бюджет в 2015 году составляет  4157,2 тыс. руб. или 93 %, при плане – 4436,0 тыс. руб.  Расходная часть исполнена на  сумму 6047,7 тыс.руб. или на 91 % от плановых назначений – 6642,6 тыс.руб.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Расходы были запланированы исходя из полномочий поселения в рамках доходных возможностей. Все расходы выполнены в пределах смет </w:t>
      </w:r>
      <w:hyperlink r:id="rId18" w:tooltip="Бюджетная классификация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бюджетной классификации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2016 год запланировано расходов на сумму  6481,0 тыс. руб., доходов 6310,0 тыс.руб., дефицит составил 111,8 тыс.руб.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создание необходимых предпосылок, условий и механизмов для повышения эффективности деятельности органов местного самоуправления и муниципальных учреждений сельского поселения  по выполнению муниципальных функций и обеспечению потребностей населения в муниципальных услугах, повышение доступности и качества муниципальных услуг, в том числе в результате изменений в правовом положении муниципальных учреждений сельского поселения , достижение долгосрочной сбалансированности и устойчивости </w:t>
      </w:r>
      <w:hyperlink r:id="rId19" w:tooltip="Бюджетная система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бюджетной системы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сельского поселения , для обеспечения дальнейшего социального развития и повышения уровня жизни жителей, создание благоприятных условий для экономического развития в поселении принята программа по повышению эффективности бюджетных расходов на период до 2018  года. В 2015 году из запланированных мероприятий, выполнены: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C05834" w:rsidRPr="00776EEA">
        <w:trPr>
          <w:tblCellSpacing w:w="15" w:type="dxa"/>
        </w:trPr>
        <w:tc>
          <w:tcPr>
            <w:tcW w:w="0" w:type="auto"/>
            <w:vAlign w:val="bottom"/>
          </w:tcPr>
          <w:p w:rsidR="00C05834" w:rsidRPr="00776EEA" w:rsidRDefault="00C05834" w:rsidP="00776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оптимизирована сеть муниципальных учреждений культуры ;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проводятся конкурсы, котировки на проведение работ за </w:t>
      </w:r>
      <w:hyperlink r:id="rId20" w:tooltip="Бюджетный счет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счет бюджетных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средств.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в границах поселения электро-, - и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21" w:tooltip="Водоснабжение и канализация" w:history="1">
        <w:r w:rsidRPr="00776EEA">
          <w:rPr>
            <w:rFonts w:ascii="Times New Roman" w:hAnsi="Times New Roman" w:cs="Times New Roman"/>
            <w:b/>
            <w:bCs/>
            <w:color w:val="743399"/>
            <w:sz w:val="28"/>
            <w:szCs w:val="28"/>
            <w:lang w:eastAsia="ru-RU"/>
          </w:rPr>
          <w:t>водоснабжения</w:t>
        </w:r>
      </w:hyperlink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населения, водоотведения.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прошедшем году большое внимание уделялось вопросам жилищно-коммунальной сферы, благоустройства территории поселения и оздоровлению ,экологической обстановки.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Электроснабжение: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эксплуатируется 18 км. линий электропередач.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Больших срывов подачи электроэнергии потребителям в 2015 году не было.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исполнение Федерального закона от 01.01.2001г «Об энергосбережении и о повышении энергетической эффективности» , в поселении принята муниципальная программа « Энергосбережение и повышение энергетической эффективности в Фомино-Свечниковском  сельском поселении».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 2015 году смонтированы светоконтрольные выключатели на всех линиях уличного освещения в населенных пунктах. В течении всего года менялись сгоревшие лампы уличного освещения в населенных пунктах.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оплату электроэнергии уличного освещения затрачено – 170,0 тыс. рублей.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и строительство автомобильных дорог общего пользования, внутрипоселковых дорог.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2013 году в поселении принята муниципальная программа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 Развитие транспортной системы  ». Эта программа уже претворяется в жизнь. В течении 2015 года  было потрачено 454,2 тыс.руб.. Заказаны и установлены новые дорожные знаки в х. Вишневка         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Выполнены работы по текущему ремонту песчано-гравийной смесью дороги в п. Комсомольском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сбора и вывоза бытовых отходов и мусора.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сбора и вывоза твердых бытовых отходов осуществлялась силами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 «Надежда».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Несмотря на то, что на территории поселения действуют Правила «содержания и обеспечения надлежащего санитарного состояния территории муниципального образования Фомино-Свечниковское  сельское поселение »,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 принимаемые меры со стороны администрации, соответствующих служб, еще существует масса проблем в этой работе.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апреля по май месяц во всех населенных пунктов поселения были проведены субботники по благоустройству территории. Были ликвидированы стихийные свалки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образовавшиеся в зимнее время. Вопрос несанкционированных свалок трудный и невыполнимый. Одна свалка убирается, в другом месте возникает другая. Люди считают нормой вынести сор со двора и сложить в общую кучу. Особенно, это касается наших дорог и кюветов.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интенсивное засорение улиц жителями индивидуальных домов. 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2015 году на поддержание санитарного состояния, профилактики вспышек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заболеваний и предотвращения несчастных случаев среди населения выполнялись следующие мероприятия: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ликвидация несанкционированных свалок – 69,6 тыс. руб;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кошение сорной растительности  - 55,0   тыс. руб;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реализацию вышеперечисленных мероприятий было израсходовано    187,6      тыс. рублей.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благоустройства территории поселения.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по благоустройству поселения в деятельности администрации занимает важное место. За отчетный период произведены следующие виды работ: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регулярно проводилось окашивание территорий поселения- проводилась уборка водоохранных зон;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приобретена и огорожена детская площадка в х.Вишневка по ул.Молодежная ,стоимостью 200 тыс.руб.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ритуальных услуг и содержание мест захоронения.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расположено 15  кладбищ.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прошедший год на мероприятия по содержанию мест захоронения было израсходовано из бюджета поселения 20,6 тыс. рублей. Производились работы по вывозу ТБО – 10,0 тыс. рублей,  прочие работы – 10,6 тыс. рублей.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содержание мест захоронения на 2016 год предусмотрено 20,0 тыс. рублей, в том числе будет продолжена работа по благоустройству кладбищ.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жилищно -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22" w:tooltip="Коммунальное хозяйство" w:history="1">
        <w:r w:rsidRPr="00776EEA">
          <w:rPr>
            <w:rFonts w:ascii="Times New Roman" w:hAnsi="Times New Roman" w:cs="Times New Roman"/>
            <w:b/>
            <w:bCs/>
            <w:color w:val="743399"/>
            <w:sz w:val="28"/>
            <w:szCs w:val="28"/>
            <w:lang w:eastAsia="ru-RU"/>
          </w:rPr>
          <w:t>коммунального хозяйства</w:t>
        </w:r>
      </w:hyperlink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 работает одно предприятие ЖКХ Данным предприятием в 2015 году были выполнены следующие работы :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МУП «Надежда» :</w:t>
      </w:r>
    </w:p>
    <w:tbl>
      <w:tblPr>
        <w:tblW w:w="3900" w:type="dxa"/>
        <w:tblInd w:w="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3900"/>
      </w:tblGrid>
      <w:tr w:rsidR="00C05834" w:rsidRPr="00776EEA">
        <w:tc>
          <w:tcPr>
            <w:tcW w:w="3900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5834" w:rsidRPr="00776EEA" w:rsidRDefault="00C05834" w:rsidP="00776EEA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5834" w:rsidRPr="00776EEA">
        <w:tc>
          <w:tcPr>
            <w:tcW w:w="3900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5834" w:rsidRPr="00776EEA" w:rsidRDefault="00C05834" w:rsidP="00776EEA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5834" w:rsidRPr="00776EEA" w:rsidRDefault="00C05834" w:rsidP="00776EEA">
      <w:pPr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b/>
          <w:bCs/>
          <w:sz w:val="28"/>
          <w:szCs w:val="28"/>
        </w:rPr>
        <w:t>Выручка от прочих видов услуг всего:</w:t>
      </w:r>
      <w:r w:rsidRPr="00776EEA">
        <w:rPr>
          <w:rFonts w:ascii="Times New Roman" w:hAnsi="Times New Roman" w:cs="Times New Roman"/>
          <w:sz w:val="28"/>
          <w:szCs w:val="28"/>
        </w:rPr>
        <w:t xml:space="preserve">              657,0      </w:t>
      </w:r>
    </w:p>
    <w:p w:rsidR="00C05834" w:rsidRPr="00776EEA" w:rsidRDefault="00C05834" w:rsidP="00776EEA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 xml:space="preserve"> В т.ч.  выкашивание травы     и вырубка</w:t>
      </w:r>
    </w:p>
    <w:p w:rsidR="00C05834" w:rsidRPr="00776EEA" w:rsidRDefault="00C05834" w:rsidP="00776EEA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 xml:space="preserve">поросли на  территории поселения                  -          55,0                     </w:t>
      </w:r>
    </w:p>
    <w:p w:rsidR="00C05834" w:rsidRPr="00776EEA" w:rsidRDefault="00C05834" w:rsidP="00776EEA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 xml:space="preserve"> установка автобусных остановок всего  </w:t>
      </w:r>
      <w:r w:rsidRPr="00776EEA">
        <w:rPr>
          <w:rFonts w:ascii="Times New Roman" w:hAnsi="Times New Roman" w:cs="Times New Roman"/>
          <w:sz w:val="28"/>
          <w:szCs w:val="28"/>
        </w:rPr>
        <w:tab/>
        <w:t>-       187,5</w:t>
      </w:r>
    </w:p>
    <w:p w:rsidR="00C05834" w:rsidRPr="00776EEA" w:rsidRDefault="00C05834" w:rsidP="00776EEA">
      <w:pPr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в т.ч. Ф-Свечниковское с.п 2 шт.                           -        50,0</w:t>
      </w:r>
    </w:p>
    <w:p w:rsidR="00C05834" w:rsidRPr="00776EEA" w:rsidRDefault="00C05834" w:rsidP="00776EEA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Индустриальное с.п. 2 шт.                                    -</w:t>
      </w:r>
      <w:r w:rsidRPr="00776EEA">
        <w:rPr>
          <w:rFonts w:ascii="Times New Roman" w:hAnsi="Times New Roman" w:cs="Times New Roman"/>
          <w:sz w:val="28"/>
          <w:szCs w:val="28"/>
        </w:rPr>
        <w:tab/>
        <w:t>52,0</w:t>
      </w:r>
    </w:p>
    <w:p w:rsidR="00C05834" w:rsidRPr="00776EEA" w:rsidRDefault="00C05834" w:rsidP="00776EEA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Вяжинское с.п  3  шт.                                              -          85,5</w:t>
      </w:r>
    </w:p>
    <w:p w:rsidR="00C05834" w:rsidRPr="00776EEA" w:rsidRDefault="00C05834" w:rsidP="00776EEA">
      <w:pPr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 xml:space="preserve">вывоз мусора, песок и глина                              -         136,8 </w:t>
      </w:r>
    </w:p>
    <w:p w:rsidR="00C05834" w:rsidRPr="00776EEA" w:rsidRDefault="00C05834" w:rsidP="00776EEA">
      <w:pPr>
        <w:tabs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чистка снега</w:t>
      </w:r>
      <w:r w:rsidRPr="00776EEA">
        <w:rPr>
          <w:rFonts w:ascii="Times New Roman" w:hAnsi="Times New Roman" w:cs="Times New Roman"/>
          <w:sz w:val="28"/>
          <w:szCs w:val="28"/>
        </w:rPr>
        <w:tab/>
        <w:t xml:space="preserve"> -            22,0</w:t>
      </w:r>
    </w:p>
    <w:p w:rsidR="00C05834" w:rsidRPr="00776EEA" w:rsidRDefault="00C05834" w:rsidP="00776EEA">
      <w:pPr>
        <w:tabs>
          <w:tab w:val="left" w:pos="5970"/>
          <w:tab w:val="left" w:pos="6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буртование  свалок</w:t>
      </w:r>
      <w:r w:rsidRPr="00776EEA">
        <w:rPr>
          <w:rFonts w:ascii="Times New Roman" w:hAnsi="Times New Roman" w:cs="Times New Roman"/>
          <w:sz w:val="28"/>
          <w:szCs w:val="28"/>
        </w:rPr>
        <w:tab/>
        <w:t>-</w:t>
      </w:r>
      <w:r w:rsidRPr="00776EEA">
        <w:rPr>
          <w:rFonts w:ascii="Times New Roman" w:hAnsi="Times New Roman" w:cs="Times New Roman"/>
          <w:sz w:val="28"/>
          <w:szCs w:val="28"/>
        </w:rPr>
        <w:tab/>
        <w:t xml:space="preserve"> 69,6</w:t>
      </w:r>
    </w:p>
    <w:p w:rsidR="00C05834" w:rsidRPr="00776EEA" w:rsidRDefault="00C05834" w:rsidP="00776EEA">
      <w:pPr>
        <w:tabs>
          <w:tab w:val="left" w:pos="5970"/>
          <w:tab w:val="left" w:pos="6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подсыпка дорог                                                     -             92,4</w:t>
      </w:r>
    </w:p>
    <w:p w:rsidR="00C05834" w:rsidRPr="00776EEA" w:rsidRDefault="00C05834" w:rsidP="00776EEA">
      <w:pPr>
        <w:tabs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 xml:space="preserve">вывоз ТБО бюдж организациям                       -              2,0  </w:t>
      </w:r>
    </w:p>
    <w:p w:rsidR="00C05834" w:rsidRPr="00776EEA" w:rsidRDefault="00C05834" w:rsidP="00776EEA">
      <w:pPr>
        <w:tabs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заготовка дров                                                       -             65,1</w:t>
      </w:r>
    </w:p>
    <w:p w:rsidR="00C05834" w:rsidRPr="00776EEA" w:rsidRDefault="00C05834" w:rsidP="00776EEA">
      <w:pPr>
        <w:tabs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работа экскаватора</w:t>
      </w:r>
      <w:r w:rsidRPr="00776EEA">
        <w:rPr>
          <w:rFonts w:ascii="Times New Roman" w:hAnsi="Times New Roman" w:cs="Times New Roman"/>
          <w:sz w:val="28"/>
          <w:szCs w:val="28"/>
        </w:rPr>
        <w:tab/>
        <w:t xml:space="preserve">  -           26,7</w:t>
      </w:r>
    </w:p>
    <w:p w:rsidR="00C05834" w:rsidRPr="00776EEA" w:rsidRDefault="00C05834" w:rsidP="00776EEA">
      <w:pPr>
        <w:tabs>
          <w:tab w:val="left" w:pos="5970"/>
          <w:tab w:val="left" w:pos="691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EEA">
        <w:rPr>
          <w:rFonts w:ascii="Times New Roman" w:hAnsi="Times New Roman" w:cs="Times New Roman"/>
          <w:b/>
          <w:bCs/>
          <w:sz w:val="28"/>
          <w:szCs w:val="28"/>
        </w:rPr>
        <w:t xml:space="preserve"> РАСХОДЫ           </w:t>
      </w:r>
      <w:r w:rsidRPr="00776EE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-</w:t>
      </w:r>
      <w:r w:rsidRPr="00776EEA">
        <w:rPr>
          <w:rFonts w:ascii="Times New Roman" w:hAnsi="Times New Roman" w:cs="Times New Roman"/>
          <w:b/>
          <w:bCs/>
          <w:sz w:val="28"/>
          <w:szCs w:val="28"/>
        </w:rPr>
        <w:tab/>
        <w:t>1040,2</w:t>
      </w:r>
    </w:p>
    <w:p w:rsidR="00C05834" w:rsidRPr="00776EEA" w:rsidRDefault="00C05834" w:rsidP="00776EEA">
      <w:pPr>
        <w:tabs>
          <w:tab w:val="left" w:pos="6060"/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В т.ч. заработная плата                                        -</w:t>
      </w:r>
      <w:r w:rsidRPr="00776EEA">
        <w:rPr>
          <w:rFonts w:ascii="Times New Roman" w:hAnsi="Times New Roman" w:cs="Times New Roman"/>
          <w:sz w:val="28"/>
          <w:szCs w:val="28"/>
        </w:rPr>
        <w:tab/>
        <w:t>389,1</w:t>
      </w:r>
    </w:p>
    <w:p w:rsidR="00C05834" w:rsidRPr="00776EEA" w:rsidRDefault="00C05834" w:rsidP="00776EEA">
      <w:pPr>
        <w:tabs>
          <w:tab w:val="left" w:pos="6060"/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Налоги  - ЕСН</w:t>
      </w:r>
      <w:r w:rsidRPr="00776EEA">
        <w:rPr>
          <w:rFonts w:ascii="Times New Roman" w:hAnsi="Times New Roman" w:cs="Times New Roman"/>
          <w:sz w:val="28"/>
          <w:szCs w:val="28"/>
        </w:rPr>
        <w:tab/>
        <w:t>-           117,5 Водный,загрязнение окр. среды,упрощ.        -            10,8</w:t>
      </w:r>
    </w:p>
    <w:p w:rsidR="00C05834" w:rsidRPr="00776EEA" w:rsidRDefault="00C05834" w:rsidP="00776EEA">
      <w:pPr>
        <w:tabs>
          <w:tab w:val="left" w:pos="6060"/>
          <w:tab w:val="left" w:pos="7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Электроэнергия</w:t>
      </w:r>
      <w:r w:rsidRPr="00776EEA">
        <w:rPr>
          <w:rFonts w:ascii="Times New Roman" w:hAnsi="Times New Roman" w:cs="Times New Roman"/>
          <w:sz w:val="28"/>
          <w:szCs w:val="28"/>
        </w:rPr>
        <w:tab/>
        <w:t>-           122,0</w:t>
      </w:r>
    </w:p>
    <w:p w:rsidR="00C05834" w:rsidRPr="00776EEA" w:rsidRDefault="00C05834" w:rsidP="00776EEA">
      <w:pPr>
        <w:tabs>
          <w:tab w:val="left" w:pos="6060"/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ГСМ</w:t>
      </w:r>
      <w:r w:rsidRPr="00776EEA">
        <w:rPr>
          <w:rFonts w:ascii="Times New Roman" w:hAnsi="Times New Roman" w:cs="Times New Roman"/>
          <w:sz w:val="28"/>
          <w:szCs w:val="28"/>
        </w:rPr>
        <w:tab/>
        <w:t>-</w:t>
      </w:r>
      <w:r w:rsidRPr="00776EEA">
        <w:rPr>
          <w:rFonts w:ascii="Times New Roman" w:hAnsi="Times New Roman" w:cs="Times New Roman"/>
          <w:sz w:val="28"/>
          <w:szCs w:val="28"/>
        </w:rPr>
        <w:tab/>
        <w:t>66,8</w:t>
      </w:r>
    </w:p>
    <w:p w:rsidR="00C05834" w:rsidRPr="00776EEA" w:rsidRDefault="00C05834" w:rsidP="00776EEA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Ремонт насосов</w:t>
      </w:r>
      <w:r w:rsidRPr="00776EEA">
        <w:rPr>
          <w:rFonts w:ascii="Times New Roman" w:hAnsi="Times New Roman" w:cs="Times New Roman"/>
          <w:sz w:val="28"/>
          <w:szCs w:val="28"/>
        </w:rPr>
        <w:tab/>
        <w:t>-            32,0</w:t>
      </w:r>
    </w:p>
    <w:p w:rsidR="00C05834" w:rsidRPr="00776EEA" w:rsidRDefault="00C05834" w:rsidP="00776EEA">
      <w:pPr>
        <w:tabs>
          <w:tab w:val="left" w:pos="6060"/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Амортизация</w:t>
      </w:r>
      <w:r w:rsidRPr="00776EEA">
        <w:rPr>
          <w:rFonts w:ascii="Times New Roman" w:hAnsi="Times New Roman" w:cs="Times New Roman"/>
          <w:sz w:val="28"/>
          <w:szCs w:val="28"/>
        </w:rPr>
        <w:tab/>
        <w:t>-</w:t>
      </w:r>
      <w:r w:rsidRPr="00776EEA">
        <w:rPr>
          <w:rFonts w:ascii="Times New Roman" w:hAnsi="Times New Roman" w:cs="Times New Roman"/>
          <w:sz w:val="28"/>
          <w:szCs w:val="28"/>
        </w:rPr>
        <w:tab/>
        <w:t>52,3</w:t>
      </w:r>
    </w:p>
    <w:p w:rsidR="00C05834" w:rsidRPr="00776EEA" w:rsidRDefault="00C05834" w:rsidP="00776EEA">
      <w:pPr>
        <w:tabs>
          <w:tab w:val="left" w:pos="6060"/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Материалы и запчасти</w:t>
      </w:r>
      <w:r w:rsidRPr="00776EEA">
        <w:rPr>
          <w:rFonts w:ascii="Times New Roman" w:hAnsi="Times New Roman" w:cs="Times New Roman"/>
          <w:sz w:val="28"/>
          <w:szCs w:val="28"/>
        </w:rPr>
        <w:tab/>
        <w:t>-</w:t>
      </w:r>
      <w:r w:rsidRPr="00776EEA">
        <w:rPr>
          <w:rFonts w:ascii="Times New Roman" w:hAnsi="Times New Roman" w:cs="Times New Roman"/>
          <w:sz w:val="28"/>
          <w:szCs w:val="28"/>
        </w:rPr>
        <w:tab/>
        <w:t>223,2</w:t>
      </w:r>
    </w:p>
    <w:p w:rsidR="00C05834" w:rsidRPr="00776EEA" w:rsidRDefault="00C05834" w:rsidP="00776EEA">
      <w:pPr>
        <w:tabs>
          <w:tab w:val="left" w:pos="6060"/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EA">
        <w:rPr>
          <w:rFonts w:ascii="Times New Roman" w:hAnsi="Times New Roman" w:cs="Times New Roman"/>
          <w:sz w:val="28"/>
          <w:szCs w:val="28"/>
        </w:rPr>
        <w:t>Прочие затраты</w:t>
      </w:r>
      <w:r w:rsidRPr="00776EEA">
        <w:rPr>
          <w:rFonts w:ascii="Times New Roman" w:hAnsi="Times New Roman" w:cs="Times New Roman"/>
          <w:sz w:val="28"/>
          <w:szCs w:val="28"/>
        </w:rPr>
        <w:tab/>
        <w:t xml:space="preserve">-     </w:t>
      </w:r>
      <w:r w:rsidRPr="00776EEA">
        <w:rPr>
          <w:rFonts w:ascii="Times New Roman" w:hAnsi="Times New Roman" w:cs="Times New Roman"/>
          <w:sz w:val="28"/>
          <w:szCs w:val="28"/>
        </w:rPr>
        <w:tab/>
        <w:t xml:space="preserve"> 26,5</w:t>
      </w:r>
    </w:p>
    <w:p w:rsidR="00C05834" w:rsidRPr="00776EEA" w:rsidRDefault="00C05834" w:rsidP="00776E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EEA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Задолженность  населения  </w:t>
      </w:r>
      <w:bookmarkStart w:id="0" w:name="_GoBack"/>
      <w:bookmarkEnd w:id="0"/>
      <w:r w:rsidRPr="00776EEA">
        <w:rPr>
          <w:rFonts w:ascii="Times New Roman" w:hAnsi="Times New Roman" w:cs="Times New Roman"/>
          <w:b/>
          <w:bCs/>
          <w:sz w:val="28"/>
          <w:szCs w:val="28"/>
        </w:rPr>
        <w:t>за воду                 -           33659,65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Нормальная жизнедеятельность выполнение всех работ в сфере ЖКХ полностью зависит от своевременного поступления </w:t>
      </w:r>
      <w:hyperlink r:id="rId23" w:tooltip="Городские коммунальные платежи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коммунальных платежей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неплатежи населения крайне негативно влияют на всю работу ЖКХ. К большому сожалению, задолженность населения по состоянию на 01.01.2016 г перед МП «Надежда» составляет 33,7 тыс. руб. , 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Обеспечение первичных мер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24" w:tooltip="Пожарная безопасность" w:history="1">
        <w:r w:rsidRPr="00776EEA">
          <w:rPr>
            <w:rFonts w:ascii="Times New Roman" w:hAnsi="Times New Roman" w:cs="Times New Roman"/>
            <w:b/>
            <w:bCs/>
            <w:color w:val="743399"/>
            <w:sz w:val="28"/>
            <w:szCs w:val="28"/>
            <w:lang w:eastAsia="ru-RU"/>
          </w:rPr>
          <w:t>пожарной безопасности</w:t>
        </w:r>
      </w:hyperlink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профилактике терроризма и экстремизма на территории сельского поселения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обеспечения мер пожарной безопасности в Фомино-Свечниковском сельском поселении  в 2015 году было: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профилактики – проводились в 2015 году сходы граждан, по данной теме. Какие бы мы меры не принимали, все равно горят в деревнях жилые постройки. Так за 2015 год сгорела 1 постройка.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Ежегодно в поселении утверждаются мероприятия по пожарной безопасности поселения, в т. ч. по предупреждению лесных пожаров.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 год был тяжелым в отношении природно-аномальной жары. Были приняты меры чрезвычайного характера: проводилась опашка населенных пунктов, была создана добровольная пожарная дружина и добровольные пожарные звенья по организациям и предприятиям.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поселении разработана программа по профилактике терроризма и экстремизма на территории поселения. Администрацией активизировались информационно - пропагандистские мероприятия, проводились разъяснительные мероприятия, на информационных стендах вывешивалась письменная информация разной направленности, проводились сходы граждан. С учетом имеющихся недостатков в работе по обеспечению антитеррористической и противопожарной безопасности жителей, объектов жизнеобеспечения и ЖКХ администрации поселения в 2016 году предстоит: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продолжить работу по созданию добровольных пожарных формирований на предприятиях, в организациях и оснастить их средствами пожаротушения;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продолжить проводить разъяснительную работу с жителями поселения о необходимости сохранения бдительности с целью недопущения совершения террористических актов либо иных чрезвычайных ситуаций;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реализовать комплекс мер, направленных на обеспечение противопожарной безопасности поселения;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активизировать работу среди жителей поселения, и в первую очередь среди молодежи, по профилактике пьянства, алкоголизма и наркомании.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организации досуга и обеспечение жителей поселения услугами культуры.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учреждений культуры нацелена на развитие самодеятельного народного творчества, организацию и проведению культурно-досуговых мероприятий для граждан, детей, учреждений и организаций.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2015 году на содержание МБУК ДК и библиотек из бюджета сельского поселения израсходовано 1544,0 тыс. рублей. 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Школы, детские сады, больница.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 расположены 2 школы в которых обучается более 150 учащихся, 2 детский сада , 4 фельдшерско-акушерских пункта.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Хотя эти учреждения находятся в ведении администрации Кашарского района, однако они расположены на нашей территории и обслуживают наше население, поэтому администрация сельского поселения  старается всегда по мере возможности помочь учреждениям. 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Охрана и содержание объектов культурного наследия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(памятников истории и культуры)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 находится 8 памятников воинов Великой Отечественной войны. Все памятники по вопросам благоустройства закреплены за учреждениями и организациями поселения.. Накануне дня Победы провели косметический ремонт памятников, наведен порядок на всех братских захоронениях расположенных на территории поселения.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мая проведены митинги и праздничные концерты. Всего затрачено в 2015 году на эти цели денежных средств в сумме 51,0 тыс. рублей.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Приоритетные направления на 2016 год: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 же не всегда можно решить вопросы местного значения поселений в том объеме, как хотелось бы. Задачи, которые стоят перед администрацией поселения в 2016 году, сложные: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повсеместно дороги требуют ремонта;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освещение населенных пунктов;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Вся работа в 2015 году проводилась в тесном контакте с Депутатским корпусом нашего Собрания (10 депутатов), общественными организациями, учреждениями и организациями расположенными на территории поселения и конечно с Администрацией муниципального образования. Убежден, что совместно мы сможем найти рычаги воздействия на еще не решенные проблемы и реализуемые намеченные планы. Надеемся на дальнейшее понимание, поддержку и помощь.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Подводя итог всему сказанному, хочется подчеркнуть, прошедший 2015 год был прожит нами достойно.</w:t>
      </w:r>
    </w:p>
    <w:p w:rsidR="00C05834" w:rsidRPr="00776EEA" w:rsidRDefault="00C05834" w:rsidP="00776EE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благодарю работников администрации , образования, здравоохранения, ЖКХ, социальных работников ,  предприятий и учреждений, культуры  за поддержку, за то </w:t>
      </w:r>
      <w:hyperlink r:id="rId25" w:tooltip="Взаимопонимание" w:history="1">
        <w:r w:rsidRPr="00776EEA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взаимопонимание</w:t>
        </w:r>
      </w:hyperlink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которое у нас с Вами есть. Уверен, что наше дальнейшее сотрудничество будет таким же плодотворным.</w:t>
      </w:r>
    </w:p>
    <w:p w:rsidR="00C05834" w:rsidRPr="00776EEA" w:rsidRDefault="00C05834" w:rsidP="00776EEA">
      <w:pPr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Хочу пожелать всем Вам крепкого здоровья, семейного благополучия, чистого светлого неба над головой, урожайного года и простого человеческого счастья!</w:t>
      </w:r>
    </w:p>
    <w:p w:rsidR="00C05834" w:rsidRPr="00776EEA" w:rsidRDefault="00C05834" w:rsidP="00776EEA">
      <w:pPr>
        <w:spacing w:after="150" w:line="33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C05834" w:rsidRPr="00776EEA" w:rsidRDefault="00C05834" w:rsidP="00776E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834" w:rsidRPr="00776EEA" w:rsidSect="0036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3FFB"/>
    <w:multiLevelType w:val="multilevel"/>
    <w:tmpl w:val="A5F41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DD42EC9"/>
    <w:multiLevelType w:val="multilevel"/>
    <w:tmpl w:val="CDFAA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40A"/>
    <w:rsid w:val="00092583"/>
    <w:rsid w:val="001022F9"/>
    <w:rsid w:val="001F78CD"/>
    <w:rsid w:val="002047DA"/>
    <w:rsid w:val="00241260"/>
    <w:rsid w:val="00242FBA"/>
    <w:rsid w:val="0024454C"/>
    <w:rsid w:val="002F3756"/>
    <w:rsid w:val="003631DF"/>
    <w:rsid w:val="00373ACD"/>
    <w:rsid w:val="003E35C3"/>
    <w:rsid w:val="00482414"/>
    <w:rsid w:val="004B4F75"/>
    <w:rsid w:val="004C326C"/>
    <w:rsid w:val="00541544"/>
    <w:rsid w:val="00611180"/>
    <w:rsid w:val="0066440A"/>
    <w:rsid w:val="00677EEF"/>
    <w:rsid w:val="00696A77"/>
    <w:rsid w:val="006A7A63"/>
    <w:rsid w:val="006F4C82"/>
    <w:rsid w:val="00716CF0"/>
    <w:rsid w:val="00722C34"/>
    <w:rsid w:val="00776EEA"/>
    <w:rsid w:val="008E4724"/>
    <w:rsid w:val="00902484"/>
    <w:rsid w:val="009761AD"/>
    <w:rsid w:val="00991B91"/>
    <w:rsid w:val="00A028DA"/>
    <w:rsid w:val="00A37C4A"/>
    <w:rsid w:val="00A555C7"/>
    <w:rsid w:val="00A90433"/>
    <w:rsid w:val="00C05834"/>
    <w:rsid w:val="00C74FF2"/>
    <w:rsid w:val="00C812F8"/>
    <w:rsid w:val="00CE5C72"/>
    <w:rsid w:val="00D34E87"/>
    <w:rsid w:val="00D43788"/>
    <w:rsid w:val="00D50438"/>
    <w:rsid w:val="00DB7E9D"/>
    <w:rsid w:val="00E73745"/>
    <w:rsid w:val="00F34858"/>
    <w:rsid w:val="00F71387"/>
    <w:rsid w:val="00F94324"/>
    <w:rsid w:val="00FD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D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6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40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6644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6440A"/>
  </w:style>
  <w:style w:type="paragraph" w:styleId="NormalWeb">
    <w:name w:val="Normal (Web)"/>
    <w:basedOn w:val="Normal"/>
    <w:uiPriority w:val="99"/>
    <w:semiHidden/>
    <w:rsid w:val="0066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8933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8941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8934">
                  <w:marLeft w:val="75"/>
                  <w:marRight w:val="0"/>
                  <w:marTop w:val="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935">
                  <w:marLeft w:val="15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758936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943">
                  <w:marLeft w:val="75"/>
                  <w:marRight w:val="0"/>
                  <w:marTop w:val="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946">
                  <w:marLeft w:val="75"/>
                  <w:marRight w:val="0"/>
                  <w:marTop w:val="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8944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ie_reglamenti/" TargetMode="External"/><Relationship Id="rId13" Type="http://schemas.openxmlformats.org/officeDocument/2006/relationships/hyperlink" Target="http://pandia.ru/text/category/zemelmznie_uchastki/" TargetMode="External"/><Relationship Id="rId18" Type="http://schemas.openxmlformats.org/officeDocument/2006/relationships/hyperlink" Target="http://pandia.ru/text/category/byudzhetnaya_klassifikatciy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vodosnabzhenie_i_kanalizatciya/" TargetMode="External"/><Relationship Id="rId7" Type="http://schemas.openxmlformats.org/officeDocument/2006/relationships/hyperlink" Target="http://pandia.ru/text/category/deyatelmznostmz_administratcij/" TargetMode="External"/><Relationship Id="rId12" Type="http://schemas.openxmlformats.org/officeDocument/2006/relationships/hyperlink" Target="http://pandia.ru/text/category/bazi_dannih/" TargetMode="External"/><Relationship Id="rId17" Type="http://schemas.openxmlformats.org/officeDocument/2006/relationships/hyperlink" Target="http://pandia.ru/text/category/moskovskaya_obl_/" TargetMode="External"/><Relationship Id="rId25" Type="http://schemas.openxmlformats.org/officeDocument/2006/relationships/hyperlink" Target="http://pandia.ru/text/category/vzaimoponima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sotcialmzno_yekonomicheskoe_razvitie/" TargetMode="External"/><Relationship Id="rId20" Type="http://schemas.openxmlformats.org/officeDocument/2006/relationships/hyperlink" Target="http://pandia.ru/text/category/byudzhetnij_sch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emlepolmzzovanie/" TargetMode="External"/><Relationship Id="rId11" Type="http://schemas.openxmlformats.org/officeDocument/2006/relationships/hyperlink" Target="http://pandia.ru/text/category/sovmestnaya_programma/" TargetMode="External"/><Relationship Id="rId24" Type="http://schemas.openxmlformats.org/officeDocument/2006/relationships/hyperlink" Target="http://pandia.ru/text/category/pozharnaya_bezopasnostmz/" TargetMode="External"/><Relationship Id="rId5" Type="http://schemas.openxmlformats.org/officeDocument/2006/relationships/hyperlink" Target="http://pandia.ru/text/category/munitcipalmznie_obrazovaniya/" TargetMode="Externa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://pandia.ru/text/category/gorodskie_kommunalmznie_platezhi/" TargetMode="External"/><Relationship Id="rId10" Type="http://schemas.openxmlformats.org/officeDocument/2006/relationships/hyperlink" Target="http://pandia.ru/text/category/publichnie_slushaniya/" TargetMode="External"/><Relationship Id="rId19" Type="http://schemas.openxmlformats.org/officeDocument/2006/relationships/hyperlink" Target="http://pandia.ru/text/category/byudzhetnaya_siste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celevie_programmi/" TargetMode="External"/><Relationship Id="rId14" Type="http://schemas.openxmlformats.org/officeDocument/2006/relationships/hyperlink" Target="http://pandia.ru/text/category/selmzskoe_hozyajstvo/" TargetMode="External"/><Relationship Id="rId22" Type="http://schemas.openxmlformats.org/officeDocument/2006/relationships/hyperlink" Target="http://pandia.ru/text/category/kommunalmznoe_hozyajstv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9</Pages>
  <Words>3081</Words>
  <Characters>17566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11</cp:revision>
  <dcterms:created xsi:type="dcterms:W3CDTF">2016-01-19T06:40:00Z</dcterms:created>
  <dcterms:modified xsi:type="dcterms:W3CDTF">2016-02-04T07:27:00Z</dcterms:modified>
</cp:coreProperties>
</file>