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 xml:space="preserve">10.07.2020г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>№ 49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рациональное природопользование» за 6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Охрана окружающей среды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581,7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581,7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511,7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Содержание мест захоронения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отлову и содержанию безнадзорных животных, обитающих на территории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_DdeLink__285_537842674"/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</w:t>
            </w:r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/>
              <w:t xml:space="preserve">Основное  мероприятие </w:t>
            </w:r>
          </w:p>
          <w:p>
            <w:pPr>
              <w:pStyle w:val="ConsPlusCell"/>
              <w:rPr/>
            </w:pPr>
            <w:r>
              <w:rPr/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bookmarkStart w:id="1" w:name="__DdeLink__352_1971465682"/>
            <w:bookmarkEnd w:id="1"/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</w:t>
            </w:r>
            <w:r>
              <w:rPr/>
              <w:t>20г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31.12.2020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/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31.12.2020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12,8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12,8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12,8</w:t>
            </w:r>
          </w:p>
        </w:tc>
      </w:tr>
      <w:tr>
        <w:trPr/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LibreOffice/5.1.1.3$Windows_x86 LibreOffice_project/89f508ef3ecebd2cfb8e1def0f0ba9a803b88a6d</Application>
  <Pages>3</Pages>
  <Words>398</Words>
  <Characters>3247</Characters>
  <CharactersWithSpaces>3664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2020-07-17T11:24:39Z</cp:lastPrinted>
  <dcterms:modified xsi:type="dcterms:W3CDTF">2020-07-17T11:25:26Z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