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</w:t>
      </w:r>
      <w:r>
        <w:rPr>
          <w:rFonts w:ascii="Times New Roman" w:hAnsi="Times New Roman"/>
          <w:color w:val="000000"/>
          <w:sz w:val="28"/>
          <w:lang w:val="en-US"/>
        </w:rPr>
        <w:t>33.9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«Энергоэффективность и развитие энергетики» за 6 месяцев 2021год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«Энергоэффективность и развитие энергетики»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Style16"/>
              <w:spacing w:lineRule="auto" w:line="288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>
            <w:pPr>
              <w:pStyle w:val="Style16"/>
              <w:spacing w:lineRule="auto" w:line="288" w:before="0" w:after="0"/>
              <w:ind w:left="189" w:right="189" w:hanging="0"/>
              <w:rPr>
                <w:sz w:val="28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6"/>
                <w:szCs w:val="16"/>
              </w:rPr>
              <w:t>Исключение</w:t>
            </w:r>
            <w:r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>
            <w:pPr>
              <w:pStyle w:val="Style16"/>
              <w:spacing w:lineRule="auto" w:line="288" w:before="0" w:after="0"/>
              <w:ind w:left="189" w:right="18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Устранение потерь энергоресурсов;</w:t>
            </w:r>
          </w:p>
          <w:p>
            <w:pPr>
              <w:pStyle w:val="Style16"/>
              <w:spacing w:lineRule="auto" w:line="288"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>
              <w:rPr/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LibreOffice/5.1.1.3$Windows_x86 LibreOffice_project/89f508ef3ecebd2cfb8e1def0f0ba9a803b88a6d</Application>
  <Pages>3</Pages>
  <Words>294</Words>
  <Characters>2434</Characters>
  <CharactersWithSpaces>2776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2020-07-22T09:09:38Z</cp:lastPrinted>
  <dcterms:modified xsi:type="dcterms:W3CDTF">2021-09-22T08:41:21Z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