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03.10.2019г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N 69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физической культуры и спорта»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9 месяцев 2019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физической культуры и спорта» за 9 месяцев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ИО Главы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«Развитие физической культуры и спорта»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9 мес. 2019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Мероприятия  направленные на приобретение, содержание детских, спортивных инвентаря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Увеличение доли жителей поселения, систематически занимающегося физической культурой и спортом.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спортивного инвентаря, оборудования, иного имущества.(Содержание детских спо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Администрация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Повышение уровня оснащенности современным спортивным инвентарем и оборудованием.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LibreOffice/5.1.1.3$Windows_x86 LibreOffice_project/89f508ef3ecebd2cfb8e1def0f0ba9a803b88a6d</Application>
  <Pages>3</Pages>
  <Words>321</Words>
  <Characters>2578</Characters>
  <CharactersWithSpaces>2972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2019-10-17T08:52:11Z</cp:lastPrinted>
  <dcterms:modified xsi:type="dcterms:W3CDTF">2019-10-17T08:52:22Z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